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0D0E6" w14:textId="094AA6D9" w:rsidR="009B0FBC" w:rsidRDefault="009B0FBC" w:rsidP="009B0FBC">
      <w:pPr>
        <w:spacing w:before="100" w:beforeAutospacing="1" w:after="0" w:line="240" w:lineRule="auto"/>
        <w:ind w:hanging="851"/>
        <w:rPr>
          <w:rFonts w:ascii="Arial Black" w:eastAsia="Times New Roman" w:hAnsi="Arial Black" w:cs="Times New Roman"/>
          <w:b/>
          <w:bCs/>
          <w:sz w:val="28"/>
          <w:szCs w:val="28"/>
          <w:lang w:eastAsia="pl-PL"/>
        </w:rPr>
      </w:pPr>
      <w:r>
        <w:rPr>
          <w:rFonts w:ascii="Arial Black" w:eastAsia="Times New Roman" w:hAnsi="Arial Black" w:cs="Times New Roman"/>
          <w:b/>
          <w:bCs/>
          <w:noProof/>
          <w:sz w:val="28"/>
          <w:szCs w:val="28"/>
          <w:lang w:eastAsia="pl-PL"/>
        </w:rPr>
        <w:drawing>
          <wp:inline distT="0" distB="0" distL="0" distR="0" wp14:anchorId="7156378D" wp14:editId="66D55ACE">
            <wp:extent cx="850334" cy="85033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030" cy="86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BDC218" w14:textId="186E73C3" w:rsidR="00116C4E" w:rsidRPr="00F522D3" w:rsidRDefault="00A92531" w:rsidP="00116C4E">
      <w:pPr>
        <w:spacing w:before="100" w:beforeAutospacing="1" w:after="0" w:line="240" w:lineRule="auto"/>
        <w:jc w:val="center"/>
        <w:rPr>
          <w:rFonts w:ascii="Arial Black" w:eastAsia="Times New Roman" w:hAnsi="Arial Black" w:cs="Times New Roman"/>
          <w:b/>
          <w:bCs/>
          <w:sz w:val="28"/>
          <w:szCs w:val="28"/>
          <w:lang w:eastAsia="pl-PL"/>
        </w:rPr>
      </w:pPr>
      <w:r w:rsidRPr="00F522D3">
        <w:rPr>
          <w:rFonts w:ascii="Arial Black" w:eastAsia="Times New Roman" w:hAnsi="Arial Black" w:cs="Times New Roman"/>
          <w:b/>
          <w:bCs/>
          <w:sz w:val="28"/>
          <w:szCs w:val="28"/>
          <w:lang w:eastAsia="pl-PL"/>
        </w:rPr>
        <w:t xml:space="preserve">PODSTAWOWE INFORMACJE W ZAKRESIE </w:t>
      </w:r>
      <w:r w:rsidR="00F522D3">
        <w:rPr>
          <w:rFonts w:ascii="Arial Black" w:eastAsia="Times New Roman" w:hAnsi="Arial Black" w:cs="Times New Roman"/>
          <w:b/>
          <w:bCs/>
          <w:sz w:val="28"/>
          <w:szCs w:val="28"/>
          <w:lang w:eastAsia="pl-PL"/>
        </w:rPr>
        <w:br/>
      </w:r>
      <w:r w:rsidR="00116C4E" w:rsidRPr="00F522D3">
        <w:rPr>
          <w:rFonts w:ascii="Arial Black" w:eastAsia="Times New Roman" w:hAnsi="Arial Black" w:cs="Times New Roman"/>
          <w:b/>
          <w:bCs/>
          <w:sz w:val="28"/>
          <w:szCs w:val="28"/>
          <w:lang w:eastAsia="pl-PL"/>
        </w:rPr>
        <w:t>OBRON</w:t>
      </w:r>
      <w:r w:rsidRPr="00F522D3">
        <w:rPr>
          <w:rFonts w:ascii="Arial Black" w:eastAsia="Times New Roman" w:hAnsi="Arial Black" w:cs="Times New Roman"/>
          <w:b/>
          <w:bCs/>
          <w:sz w:val="28"/>
          <w:szCs w:val="28"/>
          <w:lang w:eastAsia="pl-PL"/>
        </w:rPr>
        <w:t>Y</w:t>
      </w:r>
      <w:r w:rsidR="00116C4E" w:rsidRPr="00F522D3">
        <w:rPr>
          <w:rFonts w:ascii="Arial Black" w:eastAsia="Times New Roman" w:hAnsi="Arial Black" w:cs="Times New Roman"/>
          <w:b/>
          <w:bCs/>
          <w:sz w:val="28"/>
          <w:szCs w:val="28"/>
          <w:lang w:eastAsia="pl-PL"/>
        </w:rPr>
        <w:t xml:space="preserve"> CYWIL</w:t>
      </w:r>
      <w:r w:rsidRPr="00F522D3">
        <w:rPr>
          <w:rFonts w:ascii="Arial Black" w:eastAsia="Times New Roman" w:hAnsi="Arial Black" w:cs="Times New Roman"/>
          <w:b/>
          <w:bCs/>
          <w:sz w:val="28"/>
          <w:szCs w:val="28"/>
          <w:lang w:eastAsia="pl-PL"/>
        </w:rPr>
        <w:t>NEJ</w:t>
      </w:r>
    </w:p>
    <w:p w14:paraId="531E50A3" w14:textId="77777777" w:rsidR="00116C4E" w:rsidRPr="00116C4E" w:rsidRDefault="00116C4E" w:rsidP="00116C4E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</w:pPr>
    </w:p>
    <w:p w14:paraId="00719190" w14:textId="77777777" w:rsidR="00FA1716" w:rsidRDefault="00FA1716" w:rsidP="00B200F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20FB16AF" w14:textId="27FC8D75" w:rsidR="00FA1716" w:rsidRDefault="00FA1716" w:rsidP="00F522D3">
      <w:pPr>
        <w:pStyle w:val="rteright"/>
        <w:spacing w:before="0" w:beforeAutospacing="0" w:after="0" w:afterAutospacing="0" w:line="360" w:lineRule="auto"/>
        <w:jc w:val="both"/>
        <w:rPr>
          <w:rStyle w:val="Uwydatnienie"/>
          <w:rFonts w:ascii="Arial Narrow" w:hAnsi="Arial Narrow"/>
          <w:color w:val="385623" w:themeColor="accent6" w:themeShade="80"/>
        </w:rPr>
      </w:pPr>
      <w:r w:rsidRPr="000C3CB1">
        <w:rPr>
          <w:rStyle w:val="Uwydatnienie"/>
          <w:rFonts w:ascii="Arial Narrow" w:hAnsi="Arial Narrow"/>
          <w:color w:val="385623" w:themeColor="accent6" w:themeShade="80"/>
        </w:rPr>
        <w:t>„ ... określenie „</w:t>
      </w:r>
      <w:r w:rsidRPr="000C3CB1">
        <w:rPr>
          <w:rStyle w:val="Uwydatnienie"/>
          <w:rFonts w:ascii="Arial Narrow" w:hAnsi="Arial Narrow"/>
          <w:b/>
          <w:bCs/>
          <w:color w:val="385623" w:themeColor="accent6" w:themeShade="80"/>
        </w:rPr>
        <w:t>obrona cywilna</w:t>
      </w:r>
      <w:r w:rsidRPr="000C3CB1">
        <w:rPr>
          <w:rStyle w:val="Uwydatnienie"/>
          <w:rFonts w:ascii="Arial Narrow" w:hAnsi="Arial Narrow"/>
          <w:color w:val="385623" w:themeColor="accent6" w:themeShade="80"/>
        </w:rPr>
        <w:t>" oznacza wypełnianie wszystkich lub niektórych zadań humanitarnych, mających na celu ochronę ludności cywilnej przed niebezpieczeństwami wynikającymi z działań zbrojnych lub klęsk żywiołowych i przezwyciężanie ich bezpośrednich następstw, jak również zapewnienie warunków koniecznych do przetrwania ..."</w:t>
      </w:r>
    </w:p>
    <w:p w14:paraId="1ECB7A3A" w14:textId="77777777" w:rsidR="00A43ED0" w:rsidRPr="00A43ED0" w:rsidRDefault="00A43ED0" w:rsidP="00FA1716">
      <w:pPr>
        <w:pStyle w:val="rteright"/>
        <w:spacing w:before="0" w:beforeAutospacing="0" w:after="0" w:afterAutospacing="0" w:line="276" w:lineRule="auto"/>
        <w:jc w:val="both"/>
        <w:rPr>
          <w:rFonts w:ascii="Arial Narrow" w:hAnsi="Arial Narrow"/>
          <w:color w:val="385623" w:themeColor="accent6" w:themeShade="80"/>
          <w:sz w:val="8"/>
          <w:szCs w:val="8"/>
        </w:rPr>
      </w:pPr>
    </w:p>
    <w:p w14:paraId="5BA1ED5F" w14:textId="1D128BCD" w:rsidR="00FA1716" w:rsidRPr="000C3CB1" w:rsidRDefault="00F85F4D" w:rsidP="004E1F3E">
      <w:pPr>
        <w:pStyle w:val="rteright"/>
        <w:spacing w:before="0" w:beforeAutospacing="0" w:after="0" w:afterAutospacing="0" w:line="276" w:lineRule="auto"/>
        <w:jc w:val="center"/>
        <w:rPr>
          <w:rStyle w:val="Pogrubienie"/>
          <w:rFonts w:ascii="Arial Narrow" w:hAnsi="Arial Narrow"/>
          <w:color w:val="0070C0"/>
          <w:sz w:val="22"/>
          <w:szCs w:val="22"/>
        </w:rPr>
      </w:pPr>
      <w:hyperlink r:id="rId8" w:history="1">
        <w:r w:rsidR="00FA1716" w:rsidRPr="000C3CB1">
          <w:rPr>
            <w:rStyle w:val="Hipercze"/>
            <w:rFonts w:ascii="Arial Narrow" w:eastAsiaTheme="majorEastAsia" w:hAnsi="Arial Narrow"/>
            <w:color w:val="0070C0"/>
            <w:sz w:val="22"/>
            <w:szCs w:val="22"/>
          </w:rPr>
          <w:t xml:space="preserve">Protokół Dodatkowy </w:t>
        </w:r>
        <w:r w:rsidR="004E1F3E" w:rsidRPr="000C3CB1">
          <w:rPr>
            <w:rStyle w:val="Hipercze"/>
            <w:rFonts w:ascii="Arial Narrow" w:eastAsiaTheme="majorEastAsia" w:hAnsi="Arial Narrow"/>
            <w:color w:val="0070C0"/>
            <w:sz w:val="22"/>
            <w:szCs w:val="22"/>
          </w:rPr>
          <w:t xml:space="preserve">(Rozdział IV, Art. 61, ust.1) </w:t>
        </w:r>
        <w:r w:rsidR="00FA1716" w:rsidRPr="000C3CB1">
          <w:rPr>
            <w:rStyle w:val="Hipercze"/>
            <w:rFonts w:ascii="Arial Narrow" w:eastAsiaTheme="majorEastAsia" w:hAnsi="Arial Narrow"/>
            <w:color w:val="0070C0"/>
            <w:sz w:val="22"/>
            <w:szCs w:val="22"/>
          </w:rPr>
          <w:t>do Konwencji Genewskich z dnia 12 sierpnia 1949</w:t>
        </w:r>
        <w:r w:rsidR="004E1F3E" w:rsidRPr="000C3CB1">
          <w:rPr>
            <w:rStyle w:val="Hipercze"/>
            <w:rFonts w:ascii="Arial Narrow" w:eastAsiaTheme="majorEastAsia" w:hAnsi="Arial Narrow"/>
            <w:color w:val="0070C0"/>
            <w:sz w:val="22"/>
            <w:szCs w:val="22"/>
          </w:rPr>
          <w:t xml:space="preserve"> </w:t>
        </w:r>
        <w:r w:rsidR="00FA1716" w:rsidRPr="000C3CB1">
          <w:rPr>
            <w:rStyle w:val="Hipercze"/>
            <w:rFonts w:ascii="Arial Narrow" w:eastAsiaTheme="majorEastAsia" w:hAnsi="Arial Narrow"/>
            <w:color w:val="0070C0"/>
            <w:sz w:val="22"/>
            <w:szCs w:val="22"/>
          </w:rPr>
          <w:t>r.</w:t>
        </w:r>
        <w:r w:rsidR="004E1F3E" w:rsidRPr="000C3CB1">
          <w:rPr>
            <w:rFonts w:ascii="Arial Narrow" w:hAnsi="Arial Narrow"/>
            <w:color w:val="0070C0"/>
            <w:sz w:val="22"/>
            <w:szCs w:val="22"/>
            <w:u w:val="single"/>
          </w:rPr>
          <w:t xml:space="preserve"> </w:t>
        </w:r>
        <w:r w:rsidR="00FA1716" w:rsidRPr="000C3CB1">
          <w:rPr>
            <w:rStyle w:val="Hipercze"/>
            <w:rFonts w:ascii="Arial Narrow" w:eastAsiaTheme="majorEastAsia" w:hAnsi="Arial Narrow"/>
            <w:color w:val="0070C0"/>
            <w:sz w:val="22"/>
            <w:szCs w:val="22"/>
          </w:rPr>
          <w:t>dotyczący ochrony ofiar międzynarodowych konfliktów zbrojnych</w:t>
        </w:r>
      </w:hyperlink>
    </w:p>
    <w:p w14:paraId="28C9BEA0" w14:textId="77777777" w:rsidR="004E1F3E" w:rsidRPr="00FA1716" w:rsidRDefault="004E1F3E" w:rsidP="004E1F3E">
      <w:pPr>
        <w:pStyle w:val="rteright"/>
        <w:spacing w:before="0" w:beforeAutospacing="0" w:after="0" w:afterAutospacing="0"/>
        <w:jc w:val="both"/>
        <w:rPr>
          <w:rFonts w:ascii="Arial Narrow" w:hAnsi="Arial Narrow"/>
        </w:rPr>
      </w:pPr>
    </w:p>
    <w:p w14:paraId="5DD9100D" w14:textId="7C97F08F" w:rsidR="00B200F7" w:rsidRPr="00B200F7" w:rsidRDefault="00B200F7" w:rsidP="00F522D3">
      <w:pPr>
        <w:spacing w:after="0" w:line="360" w:lineRule="auto"/>
        <w:jc w:val="both"/>
        <w:rPr>
          <w:rFonts w:ascii="Arial Narrow" w:hAnsi="Arial Narrow"/>
          <w:color w:val="00B0F0"/>
          <w:sz w:val="24"/>
          <w:szCs w:val="24"/>
        </w:rPr>
      </w:pPr>
      <w:r w:rsidRPr="00B200F7">
        <w:rPr>
          <w:rFonts w:ascii="Arial Narrow" w:hAnsi="Arial Narrow"/>
          <w:b/>
          <w:bCs/>
          <w:sz w:val="24"/>
          <w:szCs w:val="24"/>
        </w:rPr>
        <w:t>Obrona cywilna (OC) ma na celu</w:t>
      </w:r>
      <w:r w:rsidRPr="00B200F7">
        <w:rPr>
          <w:rFonts w:ascii="Arial Narrow" w:hAnsi="Arial Narrow"/>
          <w:sz w:val="24"/>
          <w:szCs w:val="24"/>
        </w:rPr>
        <w:t xml:space="preserve"> ochronę ludności, zakładów pracy i urządzeń użyteczności publicznej, dóbr kultury, ratowanie i udzielanie pomocy poszkodowanym w czasie wojny oraz współdziałanie </w:t>
      </w:r>
      <w:r w:rsidRPr="00B200F7">
        <w:rPr>
          <w:rFonts w:ascii="Arial Narrow" w:hAnsi="Arial Narrow"/>
          <w:sz w:val="24"/>
          <w:szCs w:val="24"/>
        </w:rPr>
        <w:br/>
        <w:t xml:space="preserve">w zwalczaniu klęsk żywiołowych i zagrożeń środowiska oraz usuwaniu ich skutków. </w:t>
      </w:r>
    </w:p>
    <w:p w14:paraId="41DD8E02" w14:textId="34CC762D" w:rsidR="00B200F7" w:rsidRPr="00B200F7" w:rsidRDefault="00B200F7" w:rsidP="00F522D3">
      <w:pPr>
        <w:pStyle w:val="animation-ready"/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Najważniejszym dokumentem prawa międzynarodowego odnoszącym się do obrony cywilnej jest I protokół dodatkowy do konwencji genewskich z 12 sierpnia 1949 r. o ochronie ofiar wojny. Protokół ten został sporządzony w Genewie 8 czerwca 1977 r., Polska przyjęła go 19 września 1991 r.</w:t>
      </w:r>
      <w:r w:rsidR="0087512D">
        <w:rPr>
          <w:rFonts w:ascii="Arial Narrow" w:eastAsiaTheme="minorHAnsi" w:hAnsi="Arial Narrow" w:cstheme="minorBidi"/>
          <w:lang w:eastAsia="en-US"/>
        </w:rPr>
        <w:t xml:space="preserve"> </w:t>
      </w:r>
      <w:r w:rsidRPr="00B200F7">
        <w:rPr>
          <w:rFonts w:ascii="Arial Narrow" w:eastAsiaTheme="minorHAnsi" w:hAnsi="Arial Narrow" w:cstheme="minorBidi"/>
          <w:lang w:eastAsia="en-US"/>
        </w:rPr>
        <w:t>Zgodnie z treścią tego dokumentu określenie „obrona cywilna” oznacza wypełnianie wszystkich lub niektórych zadań humanitarnych mających na celu ochronę ludności cywilnej przed niebezpieczeństwami wynikającymi z działań zbrojnych lub klęsk żywiołowych i przezwyciężanie ich bezpośrednich następstw, jak też zapewnienie warunków koniecznych do przetrwania.</w:t>
      </w:r>
    </w:p>
    <w:p w14:paraId="65AD3959" w14:textId="61069ADC" w:rsidR="00B200F7" w:rsidRDefault="00B200F7" w:rsidP="00F522D3">
      <w:pPr>
        <w:pStyle w:val="animation-ready"/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 xml:space="preserve">Protokół przedstawia również katalog podstawowych </w:t>
      </w:r>
      <w:r w:rsidRPr="00B200F7">
        <w:rPr>
          <w:rFonts w:ascii="Arial Narrow" w:eastAsiaTheme="minorHAnsi" w:hAnsi="Arial Narrow" w:cstheme="minorBidi"/>
          <w:b/>
          <w:bCs/>
          <w:lang w:eastAsia="en-US"/>
        </w:rPr>
        <w:t>zadań obrony cywilnej</w:t>
      </w:r>
      <w:r w:rsidR="00072020" w:rsidRPr="00072020">
        <w:rPr>
          <w:rFonts w:ascii="Arial Narrow" w:eastAsiaTheme="minorHAnsi" w:hAnsi="Arial Narrow" w:cstheme="minorBidi"/>
          <w:lang w:eastAsia="en-US"/>
        </w:rPr>
        <w:t>, do których należą m.in.</w:t>
      </w:r>
      <w:r w:rsidRPr="00072020">
        <w:rPr>
          <w:rFonts w:ascii="Arial Narrow" w:eastAsiaTheme="minorHAnsi" w:hAnsi="Arial Narrow" w:cstheme="minorBidi"/>
          <w:lang w:eastAsia="en-US"/>
        </w:rPr>
        <w:t>:</w:t>
      </w:r>
      <w:r w:rsidRPr="00B200F7">
        <w:rPr>
          <w:rFonts w:ascii="Arial Narrow" w:eastAsiaTheme="minorHAnsi" w:hAnsi="Arial Narrow" w:cstheme="minorBidi"/>
          <w:lang w:eastAsia="en-US"/>
        </w:rPr>
        <w:t xml:space="preserve"> </w:t>
      </w:r>
    </w:p>
    <w:p w14:paraId="1BCB2A32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służba ostrzegawcza,</w:t>
      </w:r>
    </w:p>
    <w:p w14:paraId="5C1E92CF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ewakuacja,</w:t>
      </w:r>
    </w:p>
    <w:p w14:paraId="1BF2F674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przygotowanie i organizowanie schronów,</w:t>
      </w:r>
    </w:p>
    <w:p w14:paraId="52E57F28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obsługa środków zaciemnienia,</w:t>
      </w:r>
    </w:p>
    <w:p w14:paraId="494BF227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ratownictwo,</w:t>
      </w:r>
    </w:p>
    <w:p w14:paraId="0195AD18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udzielanie pomocy medycznej wraz z pierwszą pomocą oraz opieką religijną,</w:t>
      </w:r>
    </w:p>
    <w:p w14:paraId="661E2CE9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walka z pożarami,</w:t>
      </w:r>
    </w:p>
    <w:p w14:paraId="2EADD385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wykrywanie i oznaczanie stref niebezpiecznych,</w:t>
      </w:r>
    </w:p>
    <w:p w14:paraId="5D985155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odkażanie i inne podobne działania ochronne,</w:t>
      </w:r>
    </w:p>
    <w:p w14:paraId="377516AD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dostarczanie doraźnego zaopatrzenia,</w:t>
      </w:r>
    </w:p>
    <w:p w14:paraId="21F3BACC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lastRenderedPageBreak/>
        <w:t>doraźna pomoc w celu przywrócenia i utrzymania porządku w strefach dotkniętych klęskami,</w:t>
      </w:r>
    </w:p>
    <w:p w14:paraId="1E51F6AF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doraźne przywrócenie działania niezbędnych służb użyteczności publicznej,</w:t>
      </w:r>
    </w:p>
    <w:p w14:paraId="4971517E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doraźne grzebanie zmarłych,</w:t>
      </w:r>
    </w:p>
    <w:p w14:paraId="1B503846" w14:textId="77777777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pomoc w ratowaniu dóbr niezbędnych do przetrwania,</w:t>
      </w:r>
    </w:p>
    <w:p w14:paraId="6F8BA5AD" w14:textId="2E19AAF6" w:rsidR="00B200F7" w:rsidRPr="00B200F7" w:rsidRDefault="00B200F7" w:rsidP="00F522D3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ind w:left="714" w:hanging="357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dodatkowe rodzaje działalności, niezbędne do wypełnienia któregoś z zadań wyżej</w:t>
      </w:r>
      <w:r w:rsidR="005D12EA">
        <w:rPr>
          <w:rFonts w:ascii="Arial Narrow" w:eastAsiaTheme="minorHAnsi" w:hAnsi="Arial Narrow" w:cstheme="minorBidi"/>
          <w:lang w:eastAsia="en-US"/>
        </w:rPr>
        <w:t xml:space="preserve"> </w:t>
      </w:r>
      <w:r w:rsidRPr="00B200F7">
        <w:rPr>
          <w:rFonts w:ascii="Arial Narrow" w:eastAsiaTheme="minorHAnsi" w:hAnsi="Arial Narrow" w:cstheme="minorBidi"/>
          <w:lang w:eastAsia="en-US"/>
        </w:rPr>
        <w:t>wymienionych, w tym planowanie i prace organizacyjne.</w:t>
      </w:r>
    </w:p>
    <w:p w14:paraId="5B5FCC4A" w14:textId="4F9524C5" w:rsidR="00B200F7" w:rsidRDefault="00B200F7" w:rsidP="00F522D3">
      <w:pPr>
        <w:pStyle w:val="animation-ready"/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200F7">
        <w:rPr>
          <w:rFonts w:ascii="Arial Narrow" w:eastAsiaTheme="minorHAnsi" w:hAnsi="Arial Narrow" w:cstheme="minorBidi"/>
          <w:lang w:eastAsia="en-US"/>
        </w:rPr>
        <w:t>Międzynarodowym znakiem graficznym obrony cywilnej jest niebieski trójkąt na pomarańczowym tle, niedotykający wierzchołkami skraju tła</w:t>
      </w:r>
      <w:r>
        <w:rPr>
          <w:rFonts w:ascii="Arial Narrow" w:eastAsiaTheme="minorHAnsi" w:hAnsi="Arial Narrow" w:cstheme="minorBidi"/>
          <w:lang w:eastAsia="en-US"/>
        </w:rPr>
        <w:t xml:space="preserve"> (Rys. nr 1)</w:t>
      </w:r>
      <w:r w:rsidRPr="00B200F7">
        <w:rPr>
          <w:rFonts w:ascii="Arial Narrow" w:eastAsiaTheme="minorHAnsi" w:hAnsi="Arial Narrow" w:cstheme="minorBidi"/>
          <w:lang w:eastAsia="en-US"/>
        </w:rPr>
        <w:t>. W </w:t>
      </w:r>
      <w:r>
        <w:rPr>
          <w:rFonts w:ascii="Arial Narrow" w:eastAsiaTheme="minorHAnsi" w:hAnsi="Arial Narrow" w:cstheme="minorBidi"/>
          <w:lang w:eastAsia="en-US"/>
        </w:rPr>
        <w:t xml:space="preserve"> </w:t>
      </w:r>
      <w:r w:rsidRPr="00B200F7">
        <w:rPr>
          <w:rFonts w:ascii="Arial Narrow" w:eastAsiaTheme="minorHAnsi" w:hAnsi="Arial Narrow" w:cstheme="minorBidi"/>
          <w:lang w:eastAsia="en-US"/>
        </w:rPr>
        <w:t>Polsce nie stosuje się oblamówki. Na mocy prawa międzynarodowego mienie oznaczone tym znakiem (w Polsce są to np. pojazdy Państwowej Straży Pożarnej) nie może zostać skonfiskowane przez obce wojska, a ludzie w nim przebywający lub obsługujący je podlegają całkowitej ochronie.</w:t>
      </w:r>
    </w:p>
    <w:p w14:paraId="27B084A4" w14:textId="39DD50B5" w:rsidR="00F522D3" w:rsidRDefault="00F522D3" w:rsidP="00B200F7">
      <w:pPr>
        <w:pStyle w:val="animation-ready"/>
        <w:spacing w:before="0" w:beforeAutospacing="0" w:after="0" w:afterAutospacing="0" w:line="276" w:lineRule="auto"/>
        <w:jc w:val="both"/>
        <w:rPr>
          <w:rFonts w:ascii="Arial Narrow" w:eastAsiaTheme="minorHAnsi" w:hAnsi="Arial Narrow" w:cstheme="minorBidi"/>
          <w:lang w:eastAsia="en-US"/>
        </w:rPr>
      </w:pPr>
    </w:p>
    <w:p w14:paraId="7A6E1461" w14:textId="77777777" w:rsidR="00F522D3" w:rsidRPr="00B200F7" w:rsidRDefault="00F522D3" w:rsidP="00B200F7">
      <w:pPr>
        <w:pStyle w:val="animation-ready"/>
        <w:spacing w:before="0" w:beforeAutospacing="0" w:after="0" w:afterAutospacing="0" w:line="276" w:lineRule="auto"/>
        <w:jc w:val="both"/>
        <w:rPr>
          <w:rFonts w:ascii="Arial Narrow" w:eastAsiaTheme="minorHAnsi" w:hAnsi="Arial Narrow" w:cstheme="minorBidi"/>
          <w:lang w:eastAsia="en-US"/>
        </w:rPr>
      </w:pPr>
    </w:p>
    <w:p w14:paraId="426D28CC" w14:textId="46457716" w:rsidR="00B200F7" w:rsidRDefault="00B200F7" w:rsidP="00EF76DE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71F65D88" wp14:editId="136F22BF">
            <wp:extent cx="1037985" cy="1027533"/>
            <wp:effectExtent l="508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3459" cy="105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534E" w14:textId="2D958A83" w:rsidR="00B200F7" w:rsidRPr="005C5E6B" w:rsidRDefault="00B200F7" w:rsidP="00EF76DE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</w:rPr>
      </w:pPr>
    </w:p>
    <w:p w14:paraId="5B52DD9F" w14:textId="77777777" w:rsidR="00F522D3" w:rsidRDefault="00F522D3" w:rsidP="00EF76DE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Cs/>
          <w:sz w:val="22"/>
          <w:szCs w:val="22"/>
        </w:rPr>
      </w:pPr>
    </w:p>
    <w:p w14:paraId="5CEF9FC0" w14:textId="6C10CB44" w:rsidR="00B200F7" w:rsidRPr="00B200F7" w:rsidRDefault="00B200F7" w:rsidP="00EF76DE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Cs/>
          <w:sz w:val="22"/>
          <w:szCs w:val="22"/>
        </w:rPr>
      </w:pPr>
      <w:r w:rsidRPr="00B200F7">
        <w:rPr>
          <w:rFonts w:ascii="Arial Narrow" w:hAnsi="Arial Narrow" w:cs="Arial"/>
          <w:bCs/>
          <w:sz w:val="22"/>
          <w:szCs w:val="22"/>
        </w:rPr>
        <w:t>Rys</w:t>
      </w:r>
      <w:r>
        <w:rPr>
          <w:rFonts w:ascii="Arial Narrow" w:hAnsi="Arial Narrow" w:cs="Arial"/>
          <w:bCs/>
          <w:sz w:val="22"/>
          <w:szCs w:val="22"/>
        </w:rPr>
        <w:t>unek nr 1 – Międzynarodowy znak obrony cywilnej</w:t>
      </w:r>
    </w:p>
    <w:p w14:paraId="4B10F130" w14:textId="77777777" w:rsidR="005C5E6B" w:rsidRDefault="005C5E6B" w:rsidP="00B200F7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7D4639F6" w14:textId="77777777" w:rsidR="005D12EA" w:rsidRDefault="005D12EA" w:rsidP="00B200F7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75F52DF4" w14:textId="7068BDCC" w:rsidR="00B200F7" w:rsidRDefault="00B200F7" w:rsidP="00F522D3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98225E">
        <w:rPr>
          <w:rFonts w:ascii="Arial Narrow" w:hAnsi="Arial Narrow"/>
          <w:b/>
          <w:bCs/>
          <w:sz w:val="24"/>
          <w:szCs w:val="24"/>
        </w:rPr>
        <w:t>Obowiązek obywateli w zakresie obrony cywilnej polega na</w:t>
      </w:r>
      <w:r w:rsidRPr="0098225E">
        <w:rPr>
          <w:rFonts w:ascii="Arial Narrow" w:hAnsi="Arial Narrow"/>
          <w:sz w:val="24"/>
          <w:szCs w:val="24"/>
        </w:rPr>
        <w:t xml:space="preserve">: </w:t>
      </w:r>
    </w:p>
    <w:p w14:paraId="59F0E1E6" w14:textId="77777777" w:rsidR="00B200F7" w:rsidRPr="0098225E" w:rsidRDefault="00B200F7" w:rsidP="00F522D3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98225E">
        <w:rPr>
          <w:rFonts w:ascii="Arial Narrow" w:hAnsi="Arial Narrow"/>
          <w:sz w:val="24"/>
          <w:szCs w:val="24"/>
        </w:rPr>
        <w:t xml:space="preserve">1) odbywaniu: </w:t>
      </w:r>
    </w:p>
    <w:p w14:paraId="091722EE" w14:textId="77777777" w:rsidR="00B200F7" w:rsidRDefault="00B200F7" w:rsidP="00F522D3">
      <w:pPr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98225E">
        <w:rPr>
          <w:rFonts w:ascii="Arial Narrow" w:hAnsi="Arial Narrow"/>
          <w:sz w:val="24"/>
          <w:szCs w:val="24"/>
        </w:rPr>
        <w:t xml:space="preserve">a) </w:t>
      </w:r>
      <w:r w:rsidRPr="00C07E23">
        <w:rPr>
          <w:rFonts w:ascii="Arial Narrow" w:hAnsi="Arial Narrow"/>
          <w:sz w:val="24"/>
          <w:szCs w:val="24"/>
          <w:u w:val="single"/>
        </w:rPr>
        <w:t>służby w obronie cywilnej</w:t>
      </w:r>
      <w:r w:rsidRPr="0098225E">
        <w:rPr>
          <w:rFonts w:ascii="Arial Narrow" w:hAnsi="Arial Narrow"/>
          <w:sz w:val="24"/>
          <w:szCs w:val="24"/>
        </w:rPr>
        <w:t xml:space="preserve">, </w:t>
      </w:r>
    </w:p>
    <w:p w14:paraId="57A3A6ED" w14:textId="77777777" w:rsidR="00B200F7" w:rsidRPr="0098225E" w:rsidRDefault="00B200F7" w:rsidP="00F522D3">
      <w:pPr>
        <w:spacing w:after="0" w:line="36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98225E">
        <w:rPr>
          <w:rFonts w:ascii="Arial Narrow" w:hAnsi="Arial Narrow"/>
          <w:sz w:val="24"/>
          <w:szCs w:val="24"/>
        </w:rPr>
        <w:t xml:space="preserve">Obowiązek służby w obronie cywilnej polega na: </w:t>
      </w:r>
    </w:p>
    <w:p w14:paraId="3C47C138" w14:textId="77777777" w:rsidR="00B200F7" w:rsidRPr="0098225E" w:rsidRDefault="00B200F7" w:rsidP="00F522D3">
      <w:pPr>
        <w:spacing w:after="0" w:line="36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98225E">
        <w:rPr>
          <w:rFonts w:ascii="Arial Narrow" w:hAnsi="Arial Narrow"/>
          <w:sz w:val="24"/>
          <w:szCs w:val="24"/>
        </w:rPr>
        <w:t xml:space="preserve">1) odbywaniu w czasie pokoju: </w:t>
      </w:r>
    </w:p>
    <w:p w14:paraId="27CC4322" w14:textId="77777777" w:rsidR="00B200F7" w:rsidRDefault="00B200F7" w:rsidP="00F522D3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C07E23">
        <w:rPr>
          <w:rFonts w:ascii="Arial Narrow" w:hAnsi="Arial Narrow"/>
          <w:sz w:val="24"/>
          <w:szCs w:val="24"/>
        </w:rPr>
        <w:t xml:space="preserve">zasadniczej służby lub szkolenia, </w:t>
      </w:r>
    </w:p>
    <w:p w14:paraId="62383542" w14:textId="77777777" w:rsidR="00B200F7" w:rsidRPr="00C07E23" w:rsidRDefault="00B200F7" w:rsidP="00F522D3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C07E23">
        <w:rPr>
          <w:rFonts w:ascii="Arial Narrow" w:hAnsi="Arial Narrow"/>
          <w:sz w:val="24"/>
          <w:szCs w:val="24"/>
        </w:rPr>
        <w:t xml:space="preserve">ćwiczeń; </w:t>
      </w:r>
    </w:p>
    <w:p w14:paraId="216010E0" w14:textId="77777777" w:rsidR="00B200F7" w:rsidRPr="0098225E" w:rsidRDefault="00B200F7" w:rsidP="00F522D3">
      <w:pPr>
        <w:spacing w:after="0" w:line="36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98225E">
        <w:rPr>
          <w:rFonts w:ascii="Arial Narrow" w:hAnsi="Arial Narrow"/>
          <w:sz w:val="24"/>
          <w:szCs w:val="24"/>
        </w:rPr>
        <w:t xml:space="preserve">2) pełnieniu w czasie wojny czynnej służby. </w:t>
      </w:r>
    </w:p>
    <w:p w14:paraId="7D742A6D" w14:textId="77777777" w:rsidR="00B200F7" w:rsidRDefault="00B200F7" w:rsidP="00F522D3">
      <w:pPr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98225E">
        <w:rPr>
          <w:rFonts w:ascii="Arial Narrow" w:hAnsi="Arial Narrow"/>
          <w:sz w:val="24"/>
          <w:szCs w:val="24"/>
        </w:rPr>
        <w:t xml:space="preserve">b) </w:t>
      </w:r>
      <w:r w:rsidRPr="00C07E23">
        <w:rPr>
          <w:rFonts w:ascii="Arial Narrow" w:hAnsi="Arial Narrow"/>
          <w:sz w:val="24"/>
          <w:szCs w:val="24"/>
          <w:u w:val="single"/>
        </w:rPr>
        <w:t>edukacji dla bezpieczeństwa</w:t>
      </w:r>
      <w:r w:rsidRPr="0098225E">
        <w:rPr>
          <w:rFonts w:ascii="Arial Narrow" w:hAnsi="Arial Narrow"/>
          <w:sz w:val="24"/>
          <w:szCs w:val="24"/>
        </w:rPr>
        <w:t xml:space="preserve">, </w:t>
      </w:r>
    </w:p>
    <w:p w14:paraId="6C8C9B9E" w14:textId="66D17AEA" w:rsidR="00B200F7" w:rsidRDefault="00B200F7" w:rsidP="00F522D3">
      <w:pPr>
        <w:spacing w:after="0" w:line="360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  <w:t>Uczniowie szkół podstawowych i szkół ponadpodstawowych: liceum ogólnokształcącego, technikum i branżowej szkoły I stopnia, z wyjątkiem uczniów szkół dla dorosłych, podlegają obowiązkowi w zakresie edukacji dla bezpieczeństwa. Edukacja dla bezpieczeństwa jest obowiązkowym przedmiotem nauczania w szkołach wymienionych powyżej, w wymiarze jednej godziny tygodniowo w cyklu kształcenia.</w:t>
      </w:r>
    </w:p>
    <w:p w14:paraId="0D653F79" w14:textId="76FAEAEF" w:rsidR="009B0FBC" w:rsidRDefault="009B0FBC" w:rsidP="009B0FBC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14:paraId="1313CB2A" w14:textId="77777777" w:rsidR="009B0FBC" w:rsidRPr="0098225E" w:rsidRDefault="009B0FBC" w:rsidP="009B0FBC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14:paraId="693AFEB2" w14:textId="77777777" w:rsidR="00B200F7" w:rsidRDefault="00B200F7" w:rsidP="00F522D3">
      <w:pPr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98225E">
        <w:rPr>
          <w:rFonts w:ascii="Arial Narrow" w:hAnsi="Arial Narrow"/>
          <w:sz w:val="24"/>
          <w:szCs w:val="24"/>
        </w:rPr>
        <w:lastRenderedPageBreak/>
        <w:t xml:space="preserve">c) </w:t>
      </w:r>
      <w:r w:rsidRPr="00C07E23">
        <w:rPr>
          <w:rFonts w:ascii="Arial Narrow" w:hAnsi="Arial Narrow"/>
          <w:sz w:val="24"/>
          <w:szCs w:val="24"/>
          <w:u w:val="single"/>
        </w:rPr>
        <w:t>szkolenia w zakresie powszechnej samoobrony ludności</w:t>
      </w:r>
      <w:r>
        <w:rPr>
          <w:rFonts w:ascii="Arial Narrow" w:hAnsi="Arial Narrow"/>
          <w:sz w:val="24"/>
          <w:szCs w:val="24"/>
        </w:rPr>
        <w:t>:</w:t>
      </w:r>
    </w:p>
    <w:p w14:paraId="1749EE13" w14:textId="77777777" w:rsidR="00B200F7" w:rsidRPr="00C07E23" w:rsidRDefault="00B200F7" w:rsidP="00F522D3">
      <w:pPr>
        <w:spacing w:after="0" w:line="360" w:lineRule="auto"/>
        <w:ind w:left="567"/>
        <w:jc w:val="both"/>
        <w:rPr>
          <w:rFonts w:ascii="Arial Narrow" w:hAnsi="Arial Narrow"/>
          <w:sz w:val="24"/>
          <w:szCs w:val="24"/>
        </w:rPr>
      </w:pPr>
      <w:r w:rsidRPr="00C07E23">
        <w:rPr>
          <w:rFonts w:ascii="Arial Narrow" w:hAnsi="Arial Narrow"/>
          <w:sz w:val="24"/>
          <w:szCs w:val="24"/>
        </w:rPr>
        <w:t xml:space="preserve">Osoby posiadające obywatelstwo polskie, zdolne ze względu na stan zdrowia, podlegają obowiązkowi szkolenia ludności w zakresie powszechnej samoobrony. </w:t>
      </w:r>
    </w:p>
    <w:p w14:paraId="0A3F089A" w14:textId="77777777" w:rsidR="00B200F7" w:rsidRPr="00C07E23" w:rsidRDefault="00B200F7" w:rsidP="00F522D3">
      <w:pPr>
        <w:spacing w:after="0" w:line="360" w:lineRule="auto"/>
        <w:ind w:left="567"/>
        <w:jc w:val="both"/>
        <w:rPr>
          <w:rFonts w:ascii="Arial Narrow" w:hAnsi="Arial Narrow"/>
          <w:sz w:val="24"/>
          <w:szCs w:val="24"/>
        </w:rPr>
      </w:pPr>
      <w:r w:rsidRPr="00C07E23">
        <w:rPr>
          <w:rFonts w:ascii="Arial Narrow" w:hAnsi="Arial Narrow"/>
          <w:sz w:val="24"/>
          <w:szCs w:val="24"/>
        </w:rPr>
        <w:t xml:space="preserve">Szkolenie ludności w zakresie powszechnej samoobrony ma na celu przygotowanie do samoobrony przed środkami masowego rażenia oraz innymi działaniami </w:t>
      </w:r>
      <w:r>
        <w:rPr>
          <w:rFonts w:ascii="Arial Narrow" w:hAnsi="Arial Narrow"/>
          <w:sz w:val="24"/>
          <w:szCs w:val="24"/>
        </w:rPr>
        <w:t>przeciwnika</w:t>
      </w:r>
      <w:r w:rsidRPr="00C07E23">
        <w:rPr>
          <w:rFonts w:ascii="Arial Narrow" w:hAnsi="Arial Narrow"/>
          <w:sz w:val="24"/>
          <w:szCs w:val="24"/>
        </w:rPr>
        <w:t xml:space="preserve">. </w:t>
      </w:r>
    </w:p>
    <w:p w14:paraId="2F39AA2D" w14:textId="77777777" w:rsidR="00B200F7" w:rsidRPr="00C07E23" w:rsidRDefault="00B200F7" w:rsidP="00F522D3">
      <w:pPr>
        <w:spacing w:after="0" w:line="360" w:lineRule="auto"/>
        <w:ind w:left="567"/>
        <w:jc w:val="both"/>
        <w:rPr>
          <w:rFonts w:ascii="Arial Narrow" w:hAnsi="Arial Narrow"/>
          <w:sz w:val="24"/>
          <w:szCs w:val="24"/>
        </w:rPr>
      </w:pPr>
      <w:r w:rsidRPr="00C07E23">
        <w:rPr>
          <w:rFonts w:ascii="Arial Narrow" w:hAnsi="Arial Narrow"/>
          <w:sz w:val="24"/>
          <w:szCs w:val="24"/>
        </w:rPr>
        <w:t>Szkolenie ludności w zakresie powszechnej samoobrony przeprowadza się w formie zajęć podstawowych lub ćwiczeń praktycznych</w:t>
      </w:r>
    </w:p>
    <w:p w14:paraId="52425CF5" w14:textId="77777777" w:rsidR="00B200F7" w:rsidRPr="0098225E" w:rsidRDefault="00B200F7" w:rsidP="00F522D3">
      <w:pPr>
        <w:spacing w:after="0" w:line="36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98225E">
        <w:rPr>
          <w:rFonts w:ascii="Arial Narrow" w:hAnsi="Arial Narrow"/>
          <w:sz w:val="24"/>
          <w:szCs w:val="24"/>
        </w:rPr>
        <w:t>2) wykonywaniu innych zadań przewidzianych w ustawie</w:t>
      </w:r>
      <w:r>
        <w:rPr>
          <w:rFonts w:ascii="Arial Narrow" w:hAnsi="Arial Narrow"/>
          <w:sz w:val="24"/>
          <w:szCs w:val="24"/>
        </w:rPr>
        <w:t xml:space="preserve"> </w:t>
      </w:r>
      <w:r w:rsidRPr="00545685">
        <w:rPr>
          <w:rStyle w:val="FontStyle24"/>
          <w:rFonts w:ascii="Arial Narrow" w:hAnsi="Arial Narrow"/>
          <w:sz w:val="24"/>
          <w:szCs w:val="24"/>
        </w:rPr>
        <w:t xml:space="preserve">z dnia 21 listopada 1967 </w:t>
      </w:r>
      <w:r>
        <w:rPr>
          <w:rStyle w:val="FontStyle24"/>
          <w:rFonts w:ascii="Arial Narrow" w:hAnsi="Arial Narrow"/>
          <w:sz w:val="24"/>
          <w:szCs w:val="24"/>
        </w:rPr>
        <w:t xml:space="preserve">roku </w:t>
      </w:r>
      <w:r w:rsidRPr="00545685">
        <w:rPr>
          <w:rStyle w:val="FontStyle24"/>
          <w:rFonts w:ascii="Arial Narrow" w:hAnsi="Arial Narrow"/>
          <w:sz w:val="24"/>
          <w:szCs w:val="24"/>
        </w:rPr>
        <w:t>o powszechnym obowiązku obrony Rzeczypospolitej Polskiej</w:t>
      </w:r>
      <w:r w:rsidRPr="0098225E">
        <w:rPr>
          <w:rFonts w:ascii="Arial Narrow" w:hAnsi="Arial Narrow"/>
          <w:sz w:val="24"/>
          <w:szCs w:val="24"/>
        </w:rPr>
        <w:t xml:space="preserve">. </w:t>
      </w:r>
    </w:p>
    <w:p w14:paraId="4774D6D0" w14:textId="301B12F3" w:rsidR="00EC406A" w:rsidRPr="00EC406A" w:rsidRDefault="00EC406A" w:rsidP="00F522D3">
      <w:pPr>
        <w:pStyle w:val="Nagwek2"/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sz w:val="24"/>
          <w:szCs w:val="24"/>
          <w:lang w:eastAsia="en-US"/>
        </w:rPr>
      </w:pPr>
      <w:r w:rsidRPr="00EC406A">
        <w:rPr>
          <w:rFonts w:ascii="Arial Narrow" w:eastAsiaTheme="minorHAnsi" w:hAnsi="Arial Narrow" w:cstheme="minorBidi"/>
          <w:sz w:val="24"/>
          <w:szCs w:val="24"/>
          <w:lang w:eastAsia="en-US"/>
        </w:rPr>
        <w:t>Struktura i obowiązki obrony cywilnej w Polsce</w:t>
      </w:r>
      <w:r w:rsidR="005E2D0C">
        <w:rPr>
          <w:rFonts w:ascii="Arial Narrow" w:eastAsiaTheme="minorHAnsi" w:hAnsi="Arial Narrow" w:cstheme="minorBidi"/>
          <w:sz w:val="24"/>
          <w:szCs w:val="24"/>
          <w:lang w:eastAsia="en-US"/>
        </w:rPr>
        <w:t>.</w:t>
      </w:r>
    </w:p>
    <w:p w14:paraId="6861C114" w14:textId="77777777" w:rsidR="00EC406A" w:rsidRPr="00EC406A" w:rsidRDefault="00EC406A" w:rsidP="00F522D3">
      <w:pPr>
        <w:pStyle w:val="NormalnyWeb"/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EC406A">
        <w:rPr>
          <w:rFonts w:ascii="Arial Narrow" w:eastAsiaTheme="minorHAnsi" w:hAnsi="Arial Narrow" w:cstheme="minorBidi"/>
          <w:lang w:eastAsia="en-US"/>
        </w:rPr>
        <w:t xml:space="preserve">Organizacją obrony cywilnej w Polsce zajmuje się Obrona Cywilna Kraju. Szefowie Obrony Cywilnej na poziomie gminy, powiatu i województwa opracowują i opiniują tzw. </w:t>
      </w:r>
      <w:hyperlink r:id="rId10" w:tooltip="Plan obrony cywilnej" w:history="1">
        <w:r w:rsidRPr="00EC406A">
          <w:rPr>
            <w:rFonts w:ascii="Arial Narrow" w:eastAsiaTheme="minorHAnsi" w:hAnsi="Arial Narrow" w:cstheme="minorBidi"/>
            <w:lang w:eastAsia="en-US"/>
          </w:rPr>
          <w:t>plany obrony cywilnej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, które są najważniejszą instrukcją dla władz cywilnych w przypadku wystąpienia zagrożenia dla ludności. </w:t>
      </w:r>
    </w:p>
    <w:p w14:paraId="0938FC1A" w14:textId="77777777" w:rsidR="00EC406A" w:rsidRPr="00EC406A" w:rsidRDefault="00EC406A" w:rsidP="00F522D3">
      <w:pPr>
        <w:pStyle w:val="NormalnyWeb"/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EC406A">
        <w:rPr>
          <w:rFonts w:ascii="Arial Narrow" w:eastAsiaTheme="minorHAnsi" w:hAnsi="Arial Narrow" w:cstheme="minorBidi"/>
          <w:u w:val="single"/>
          <w:lang w:eastAsia="en-US"/>
        </w:rPr>
        <w:t>Szefem Obrony Cywilnej na poziomie</w:t>
      </w:r>
      <w:r w:rsidRPr="00EC406A">
        <w:rPr>
          <w:rFonts w:ascii="Arial Narrow" w:eastAsiaTheme="minorHAnsi" w:hAnsi="Arial Narrow" w:cstheme="minorBidi"/>
          <w:lang w:eastAsia="en-US"/>
        </w:rPr>
        <w:t xml:space="preserve"> </w:t>
      </w:r>
      <w:hyperlink r:id="rId11" w:tooltip="Województwo" w:history="1">
        <w:r w:rsidRPr="00EC406A">
          <w:rPr>
            <w:rFonts w:ascii="Arial Narrow" w:eastAsiaTheme="minorHAnsi" w:hAnsi="Arial Narrow" w:cstheme="minorBidi"/>
            <w:lang w:eastAsia="en-US"/>
          </w:rPr>
          <w:t>województwa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 jest </w:t>
      </w:r>
      <w:hyperlink r:id="rId12" w:tooltip="Wojewoda" w:history="1">
        <w:r w:rsidRPr="00EC406A">
          <w:rPr>
            <w:rFonts w:ascii="Arial Narrow" w:eastAsiaTheme="minorHAnsi" w:hAnsi="Arial Narrow" w:cstheme="minorBidi"/>
            <w:lang w:eastAsia="en-US"/>
          </w:rPr>
          <w:t>wojewoda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, na poziomie </w:t>
      </w:r>
      <w:hyperlink r:id="rId13" w:history="1">
        <w:r w:rsidRPr="00EC406A">
          <w:rPr>
            <w:rFonts w:ascii="Arial Narrow" w:eastAsiaTheme="minorHAnsi" w:hAnsi="Arial Narrow" w:cstheme="minorBidi"/>
            <w:lang w:eastAsia="en-US"/>
          </w:rPr>
          <w:t>powiatu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 lub </w:t>
      </w:r>
      <w:hyperlink r:id="rId14" w:tooltip="Powiat grodzki" w:history="1">
        <w:r w:rsidRPr="00EC406A">
          <w:rPr>
            <w:rFonts w:ascii="Arial Narrow" w:eastAsiaTheme="minorHAnsi" w:hAnsi="Arial Narrow" w:cstheme="minorBidi"/>
            <w:u w:val="single"/>
            <w:lang w:eastAsia="en-US"/>
          </w:rPr>
          <w:t>miasta</w:t>
        </w:r>
        <w:r w:rsidRPr="00EC406A">
          <w:rPr>
            <w:rFonts w:ascii="Arial Narrow" w:eastAsiaTheme="minorHAnsi" w:hAnsi="Arial Narrow" w:cstheme="minorBidi"/>
            <w:lang w:eastAsia="en-US"/>
          </w:rPr>
          <w:t xml:space="preserve"> na prawach powiatu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 – </w:t>
      </w:r>
      <w:hyperlink r:id="rId15" w:tooltip="Starosta" w:history="1">
        <w:r w:rsidRPr="00EC406A">
          <w:rPr>
            <w:rFonts w:ascii="Arial Narrow" w:eastAsiaTheme="minorHAnsi" w:hAnsi="Arial Narrow" w:cstheme="minorBidi"/>
            <w:lang w:eastAsia="en-US"/>
          </w:rPr>
          <w:t>starosta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 lub </w:t>
      </w:r>
      <w:hyperlink r:id="rId16" w:tooltip="Prezydent miasta" w:history="1">
        <w:r w:rsidRPr="00EC406A">
          <w:rPr>
            <w:rFonts w:ascii="Arial Narrow" w:eastAsiaTheme="minorHAnsi" w:hAnsi="Arial Narrow" w:cstheme="minorBidi"/>
            <w:u w:val="single"/>
            <w:lang w:eastAsia="en-US"/>
          </w:rPr>
          <w:t>prezydent miasta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, na poziomie </w:t>
      </w:r>
      <w:hyperlink r:id="rId17" w:tooltip="Gmina" w:history="1">
        <w:r w:rsidRPr="00EC406A">
          <w:rPr>
            <w:rFonts w:ascii="Arial Narrow" w:eastAsiaTheme="minorHAnsi" w:hAnsi="Arial Narrow" w:cstheme="minorBidi"/>
            <w:lang w:eastAsia="en-US"/>
          </w:rPr>
          <w:t>gminy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 – </w:t>
      </w:r>
      <w:hyperlink r:id="rId18" w:tooltip="Wójt" w:history="1">
        <w:r w:rsidRPr="00EC406A">
          <w:rPr>
            <w:rFonts w:ascii="Arial Narrow" w:eastAsiaTheme="minorHAnsi" w:hAnsi="Arial Narrow" w:cstheme="minorBidi"/>
            <w:lang w:eastAsia="en-US"/>
          </w:rPr>
          <w:t>wójt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, </w:t>
      </w:r>
      <w:hyperlink r:id="rId19" w:tooltip="Burmistrz" w:history="1">
        <w:r w:rsidRPr="00EC406A">
          <w:rPr>
            <w:rFonts w:ascii="Arial Narrow" w:eastAsiaTheme="minorHAnsi" w:hAnsi="Arial Narrow" w:cstheme="minorBidi"/>
            <w:lang w:eastAsia="en-US"/>
          </w:rPr>
          <w:t>burmistrz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, </w:t>
      </w:r>
      <w:hyperlink r:id="rId20" w:tooltip="Prezydent miasta" w:history="1">
        <w:r w:rsidRPr="00EC406A">
          <w:rPr>
            <w:rFonts w:ascii="Arial Narrow" w:eastAsiaTheme="minorHAnsi" w:hAnsi="Arial Narrow" w:cstheme="minorBidi"/>
            <w:lang w:eastAsia="en-US"/>
          </w:rPr>
          <w:t>prezydent miasta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. </w:t>
      </w:r>
    </w:p>
    <w:p w14:paraId="3C65CE54" w14:textId="0BFC1875" w:rsidR="00EC406A" w:rsidRPr="00EC406A" w:rsidRDefault="00EC406A" w:rsidP="00F522D3">
      <w:pPr>
        <w:pStyle w:val="NormalnyWeb"/>
        <w:spacing w:before="0" w:beforeAutospacing="0" w:after="0" w:afterAutospacing="0"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EC406A">
        <w:rPr>
          <w:rFonts w:ascii="Arial Narrow" w:eastAsiaTheme="minorHAnsi" w:hAnsi="Arial Narrow" w:cstheme="minorBidi"/>
          <w:lang w:eastAsia="en-US"/>
        </w:rPr>
        <w:t xml:space="preserve">Podstawowymi jednostkami organizacyjnymi są formacje obrony cywilnej, które składać się mogą </w:t>
      </w:r>
      <w:r>
        <w:rPr>
          <w:rFonts w:ascii="Arial Narrow" w:eastAsiaTheme="minorHAnsi" w:hAnsi="Arial Narrow" w:cstheme="minorBidi"/>
          <w:lang w:eastAsia="en-US"/>
        </w:rPr>
        <w:br/>
      </w:r>
      <w:r w:rsidRPr="00EC406A">
        <w:rPr>
          <w:rFonts w:ascii="Arial Narrow" w:eastAsiaTheme="minorHAnsi" w:hAnsi="Arial Narrow" w:cstheme="minorBidi"/>
          <w:lang w:eastAsia="en-US"/>
        </w:rPr>
        <w:t xml:space="preserve">z oddziałów przeznaczonych do wykonywania zadań ogólnych, jak i jednostek specjalistycznych </w:t>
      </w:r>
      <w:r>
        <w:rPr>
          <w:rFonts w:ascii="Arial Narrow" w:eastAsiaTheme="minorHAnsi" w:hAnsi="Arial Narrow" w:cstheme="minorBidi"/>
          <w:lang w:eastAsia="en-US"/>
        </w:rPr>
        <w:br/>
      </w:r>
      <w:r w:rsidRPr="00EC406A">
        <w:rPr>
          <w:rFonts w:ascii="Arial Narrow" w:eastAsiaTheme="minorHAnsi" w:hAnsi="Arial Narrow" w:cstheme="minorBidi"/>
          <w:lang w:eastAsia="en-US"/>
        </w:rPr>
        <w:t xml:space="preserve">(np. </w:t>
      </w:r>
      <w:hyperlink r:id="rId21" w:tooltip="Ratownictwo" w:history="1">
        <w:r w:rsidRPr="00EC406A">
          <w:rPr>
            <w:rFonts w:ascii="Arial Narrow" w:eastAsiaTheme="minorHAnsi" w:hAnsi="Arial Narrow" w:cstheme="minorBidi"/>
            <w:lang w:eastAsia="en-US"/>
          </w:rPr>
          <w:t>ratownictwa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). Są one tworzone decyzją terenowych organów administracyjnych oraz pracodawców. Służba w strukturach Obrony Cywilnej Kraju jest obowiązkiem obywatela RP, na mocy Ustawy </w:t>
      </w:r>
      <w:r>
        <w:rPr>
          <w:rFonts w:ascii="Arial Narrow" w:eastAsiaTheme="minorHAnsi" w:hAnsi="Arial Narrow" w:cstheme="minorBidi"/>
          <w:lang w:eastAsia="en-US"/>
        </w:rPr>
        <w:br/>
      </w:r>
      <w:r w:rsidRPr="00EC406A">
        <w:rPr>
          <w:rFonts w:ascii="Arial Narrow" w:eastAsiaTheme="minorHAnsi" w:hAnsi="Arial Narrow" w:cstheme="minorBidi"/>
          <w:lang w:eastAsia="en-US"/>
        </w:rPr>
        <w:t xml:space="preserve">o powszechnym obowiązku obronnym z </w:t>
      </w:r>
      <w:hyperlink r:id="rId22" w:tooltip="21 listopada" w:history="1">
        <w:r w:rsidRPr="00EC406A">
          <w:rPr>
            <w:rFonts w:ascii="Arial Narrow" w:eastAsiaTheme="minorHAnsi" w:hAnsi="Arial Narrow" w:cstheme="minorBidi"/>
            <w:lang w:eastAsia="en-US"/>
          </w:rPr>
          <w:t>21 listopada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 </w:t>
      </w:r>
      <w:hyperlink r:id="rId23" w:tooltip="1967" w:history="1">
        <w:r w:rsidRPr="00EC406A">
          <w:rPr>
            <w:rFonts w:ascii="Arial Narrow" w:eastAsiaTheme="minorHAnsi" w:hAnsi="Arial Narrow" w:cstheme="minorBidi"/>
            <w:lang w:eastAsia="en-US"/>
          </w:rPr>
          <w:t>1967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 </w:t>
      </w:r>
      <w:r>
        <w:rPr>
          <w:rFonts w:ascii="Arial Narrow" w:eastAsiaTheme="minorHAnsi" w:hAnsi="Arial Narrow" w:cstheme="minorBidi"/>
          <w:lang w:eastAsia="en-US"/>
        </w:rPr>
        <w:t xml:space="preserve">r. </w:t>
      </w:r>
      <w:r w:rsidRPr="00EC406A">
        <w:rPr>
          <w:rFonts w:ascii="Arial Narrow" w:eastAsiaTheme="minorHAnsi" w:hAnsi="Arial Narrow" w:cstheme="minorBidi"/>
          <w:lang w:eastAsia="en-US"/>
        </w:rPr>
        <w:t xml:space="preserve">z późniejszymi zmianami. Odbywa się ona na zasadach zbliżonych do </w:t>
      </w:r>
      <w:hyperlink r:id="rId24" w:tooltip="Zasadnicza służba wojskowa" w:history="1">
        <w:r w:rsidRPr="00EC406A">
          <w:rPr>
            <w:rFonts w:ascii="Arial Narrow" w:eastAsiaTheme="minorHAnsi" w:hAnsi="Arial Narrow" w:cstheme="minorBidi"/>
            <w:lang w:eastAsia="en-US"/>
          </w:rPr>
          <w:t>służby wojskowej</w:t>
        </w:r>
      </w:hyperlink>
      <w:r w:rsidRPr="00EC406A">
        <w:rPr>
          <w:rFonts w:ascii="Arial Narrow" w:eastAsiaTheme="minorHAnsi" w:hAnsi="Arial Narrow" w:cstheme="minorBidi"/>
          <w:lang w:eastAsia="en-US"/>
        </w:rPr>
        <w:t xml:space="preserve">. Może być zarządzona jako służba zastępcza. </w:t>
      </w:r>
    </w:p>
    <w:p w14:paraId="1B829C9A" w14:textId="15C5F042" w:rsidR="005D12EA" w:rsidRDefault="005D12EA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659EE32C" w14:textId="1B7E0EF7" w:rsidR="00F522D3" w:rsidRDefault="00F522D3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4E10D67F" w14:textId="7701ABE3" w:rsidR="00F522D3" w:rsidRDefault="00F522D3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7EE18332" w14:textId="2C731179" w:rsidR="00F522D3" w:rsidRDefault="00F522D3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55720F9F" w14:textId="77777777" w:rsidR="00F522D3" w:rsidRDefault="00F522D3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4BEE5332" w14:textId="10FA94E3" w:rsidR="00F522D3" w:rsidRDefault="00F522D3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782E7545" w14:textId="2955C9BC" w:rsidR="00F522D3" w:rsidRDefault="00F522D3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5B28F9E7" w14:textId="7965B2F1" w:rsidR="00F522D3" w:rsidRDefault="00F522D3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4D8EB997" w14:textId="7772C160" w:rsidR="009B0FBC" w:rsidRDefault="009B0FBC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087172D2" w14:textId="034E87FB" w:rsidR="009B0FBC" w:rsidRDefault="009B0FBC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76C369AB" w14:textId="41B9BBE3" w:rsidR="009B0FBC" w:rsidRDefault="009B0FBC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0D69BA20" w14:textId="2C161C1E" w:rsidR="009B0FBC" w:rsidRDefault="009B0FBC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6741711B" w14:textId="549CFA37" w:rsidR="009B0FBC" w:rsidRDefault="009B0FBC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2537EEEB" w14:textId="77777777" w:rsidR="009B0FBC" w:rsidRDefault="009B0FBC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2120FF81" w14:textId="77777777" w:rsidR="00F522D3" w:rsidRDefault="00F522D3" w:rsidP="00116C4E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4"/>
          <w:szCs w:val="24"/>
        </w:rPr>
      </w:pPr>
    </w:p>
    <w:p w14:paraId="20C2AE65" w14:textId="7C5198B1" w:rsidR="001D6B76" w:rsidRPr="00126356" w:rsidRDefault="00BE736C" w:rsidP="00A67221">
      <w:pPr>
        <w:spacing w:before="100" w:beforeAutospacing="1" w:after="100" w:afterAutospacing="1" w:line="240" w:lineRule="auto"/>
        <w:outlineLvl w:val="1"/>
        <w:rPr>
          <w:rFonts w:ascii="Arial Narrow" w:hAnsi="Arial Narrow"/>
        </w:rPr>
      </w:pPr>
      <w:r w:rsidRPr="00B92003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Serwis informacyjny Obrony Cywilnej Kraju </w:t>
      </w:r>
      <w:r w:rsidR="00B92003" w:rsidRPr="00B92003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- </w:t>
      </w:r>
      <w:hyperlink r:id="rId25" w:history="1">
        <w:r w:rsidR="00B92003" w:rsidRPr="00B92003">
          <w:rPr>
            <w:rFonts w:ascii="Arial Narrow" w:eastAsia="Times New Roman" w:hAnsi="Arial Narrow" w:cs="Times New Roman"/>
            <w:b/>
            <w:bCs/>
            <w:color w:val="0000FF"/>
            <w:sz w:val="24"/>
            <w:szCs w:val="24"/>
            <w:u w:val="single"/>
            <w:lang w:eastAsia="pl-PL"/>
          </w:rPr>
          <w:t>http://www.ock.gov.pl/</w:t>
        </w:r>
      </w:hyperlink>
    </w:p>
    <w:sectPr w:rsidR="001D6B76" w:rsidRPr="00126356" w:rsidSect="009B0FBC">
      <w:footerReference w:type="default" r:id="rId2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0424D" w14:textId="77777777" w:rsidR="00F85F4D" w:rsidRDefault="00F85F4D" w:rsidP="00BE736C">
      <w:pPr>
        <w:spacing w:after="0" w:line="240" w:lineRule="auto"/>
      </w:pPr>
      <w:r>
        <w:separator/>
      </w:r>
    </w:p>
  </w:endnote>
  <w:endnote w:type="continuationSeparator" w:id="0">
    <w:p w14:paraId="174B47FF" w14:textId="77777777" w:rsidR="00F85F4D" w:rsidRDefault="00F85F4D" w:rsidP="00BE7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5054592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559B6B00" w14:textId="251BD35A" w:rsidR="00BE736C" w:rsidRPr="00BE736C" w:rsidRDefault="00BE736C">
        <w:pPr>
          <w:pStyle w:val="Stopka"/>
          <w:jc w:val="right"/>
          <w:rPr>
            <w:rFonts w:ascii="Arial Narrow" w:hAnsi="Arial Narrow"/>
          </w:rPr>
        </w:pPr>
        <w:r w:rsidRPr="00BE736C">
          <w:rPr>
            <w:rFonts w:ascii="Arial Narrow" w:hAnsi="Arial Narrow"/>
          </w:rPr>
          <w:fldChar w:fldCharType="begin"/>
        </w:r>
        <w:r w:rsidRPr="00BE736C">
          <w:rPr>
            <w:rFonts w:ascii="Arial Narrow" w:hAnsi="Arial Narrow"/>
          </w:rPr>
          <w:instrText>PAGE   \* MERGEFORMAT</w:instrText>
        </w:r>
        <w:r w:rsidRPr="00BE736C">
          <w:rPr>
            <w:rFonts w:ascii="Arial Narrow" w:hAnsi="Arial Narrow"/>
          </w:rPr>
          <w:fldChar w:fldCharType="separate"/>
        </w:r>
        <w:r w:rsidRPr="00BE736C">
          <w:rPr>
            <w:rFonts w:ascii="Arial Narrow" w:hAnsi="Arial Narrow"/>
          </w:rPr>
          <w:t>2</w:t>
        </w:r>
        <w:r w:rsidRPr="00BE736C">
          <w:rPr>
            <w:rFonts w:ascii="Arial Narrow" w:hAnsi="Arial Narrow"/>
          </w:rPr>
          <w:fldChar w:fldCharType="end"/>
        </w:r>
      </w:p>
    </w:sdtContent>
  </w:sdt>
  <w:p w14:paraId="11758C12" w14:textId="77777777" w:rsidR="00BE736C" w:rsidRDefault="00BE73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01314" w14:textId="77777777" w:rsidR="00F85F4D" w:rsidRDefault="00F85F4D" w:rsidP="00BE736C">
      <w:pPr>
        <w:spacing w:after="0" w:line="240" w:lineRule="auto"/>
      </w:pPr>
      <w:r>
        <w:separator/>
      </w:r>
    </w:p>
  </w:footnote>
  <w:footnote w:type="continuationSeparator" w:id="0">
    <w:p w14:paraId="5DA4BEA5" w14:textId="77777777" w:rsidR="00F85F4D" w:rsidRDefault="00F85F4D" w:rsidP="00BE7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51680"/>
    <w:multiLevelType w:val="hybridMultilevel"/>
    <w:tmpl w:val="BDB41E9A"/>
    <w:lvl w:ilvl="0" w:tplc="D428A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51F4C"/>
    <w:multiLevelType w:val="hybridMultilevel"/>
    <w:tmpl w:val="BDB41E9A"/>
    <w:lvl w:ilvl="0" w:tplc="D428A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F4348"/>
    <w:multiLevelType w:val="hybridMultilevel"/>
    <w:tmpl w:val="D55015EA"/>
    <w:lvl w:ilvl="0" w:tplc="0E5099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6A4E31"/>
    <w:multiLevelType w:val="hybridMultilevel"/>
    <w:tmpl w:val="D1AE9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E157D"/>
    <w:multiLevelType w:val="hybridMultilevel"/>
    <w:tmpl w:val="2DD24B58"/>
    <w:lvl w:ilvl="0" w:tplc="0E5099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6353171"/>
    <w:multiLevelType w:val="multilevel"/>
    <w:tmpl w:val="EEB4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9C620F"/>
    <w:multiLevelType w:val="multilevel"/>
    <w:tmpl w:val="4BBA7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432862"/>
    <w:multiLevelType w:val="hybridMultilevel"/>
    <w:tmpl w:val="F8F8C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505A0"/>
    <w:multiLevelType w:val="multilevel"/>
    <w:tmpl w:val="E052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B93A17"/>
    <w:multiLevelType w:val="hybridMultilevel"/>
    <w:tmpl w:val="851CF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704E7"/>
    <w:multiLevelType w:val="multilevel"/>
    <w:tmpl w:val="851CF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206960"/>
    <w:multiLevelType w:val="hybridMultilevel"/>
    <w:tmpl w:val="1EDA19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463"/>
    <w:multiLevelType w:val="multilevel"/>
    <w:tmpl w:val="F69C7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8650BB"/>
    <w:multiLevelType w:val="hybridMultilevel"/>
    <w:tmpl w:val="A46A0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E0D9F"/>
    <w:multiLevelType w:val="multilevel"/>
    <w:tmpl w:val="73C4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D56A14"/>
    <w:multiLevelType w:val="multilevel"/>
    <w:tmpl w:val="A3D0D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5F0559"/>
    <w:multiLevelType w:val="hybridMultilevel"/>
    <w:tmpl w:val="BDB41E9A"/>
    <w:lvl w:ilvl="0" w:tplc="D428A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61BDB"/>
    <w:multiLevelType w:val="hybridMultilevel"/>
    <w:tmpl w:val="90546F30"/>
    <w:lvl w:ilvl="0" w:tplc="0E5099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A7917AB"/>
    <w:multiLevelType w:val="multilevel"/>
    <w:tmpl w:val="42343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70399F"/>
    <w:multiLevelType w:val="multilevel"/>
    <w:tmpl w:val="8A24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5B7125"/>
    <w:multiLevelType w:val="multilevel"/>
    <w:tmpl w:val="CC1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BD47AD"/>
    <w:multiLevelType w:val="multilevel"/>
    <w:tmpl w:val="E96EB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3176E1"/>
    <w:multiLevelType w:val="hybridMultilevel"/>
    <w:tmpl w:val="BF442530"/>
    <w:lvl w:ilvl="0" w:tplc="3B06C1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CE714C"/>
    <w:multiLevelType w:val="hybridMultilevel"/>
    <w:tmpl w:val="68F4BF5E"/>
    <w:lvl w:ilvl="0" w:tplc="3A66B952">
      <w:start w:val="1"/>
      <w:numFmt w:val="decimal"/>
      <w:lvlText w:val="%1."/>
      <w:lvlJc w:val="left"/>
      <w:pPr>
        <w:ind w:left="31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B7C0E"/>
    <w:multiLevelType w:val="hybridMultilevel"/>
    <w:tmpl w:val="CF884816"/>
    <w:lvl w:ilvl="0" w:tplc="0E50994E">
      <w:start w:val="1"/>
      <w:numFmt w:val="bullet"/>
      <w:lvlText w:val=""/>
      <w:lvlJc w:val="left"/>
      <w:pPr>
        <w:ind w:left="2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25" w15:restartNumberingAfterBreak="0">
    <w:nsid w:val="7A044470"/>
    <w:multiLevelType w:val="hybridMultilevel"/>
    <w:tmpl w:val="6CDE1C80"/>
    <w:lvl w:ilvl="0" w:tplc="467084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1"/>
  </w:num>
  <w:num w:numId="4">
    <w:abstractNumId w:val="10"/>
  </w:num>
  <w:num w:numId="5">
    <w:abstractNumId w:val="6"/>
  </w:num>
  <w:num w:numId="6">
    <w:abstractNumId w:val="18"/>
  </w:num>
  <w:num w:numId="7">
    <w:abstractNumId w:val="20"/>
  </w:num>
  <w:num w:numId="8">
    <w:abstractNumId w:val="14"/>
  </w:num>
  <w:num w:numId="9">
    <w:abstractNumId w:val="2"/>
  </w:num>
  <w:num w:numId="10">
    <w:abstractNumId w:val="17"/>
  </w:num>
  <w:num w:numId="11">
    <w:abstractNumId w:val="24"/>
  </w:num>
  <w:num w:numId="12">
    <w:abstractNumId w:val="13"/>
  </w:num>
  <w:num w:numId="13">
    <w:abstractNumId w:val="12"/>
  </w:num>
  <w:num w:numId="14">
    <w:abstractNumId w:val="8"/>
  </w:num>
  <w:num w:numId="15">
    <w:abstractNumId w:val="5"/>
  </w:num>
  <w:num w:numId="16">
    <w:abstractNumId w:val="4"/>
  </w:num>
  <w:num w:numId="17">
    <w:abstractNumId w:val="7"/>
  </w:num>
  <w:num w:numId="18">
    <w:abstractNumId w:val="11"/>
  </w:num>
  <w:num w:numId="19">
    <w:abstractNumId w:val="23"/>
  </w:num>
  <w:num w:numId="20">
    <w:abstractNumId w:val="1"/>
  </w:num>
  <w:num w:numId="21">
    <w:abstractNumId w:val="16"/>
  </w:num>
  <w:num w:numId="22">
    <w:abstractNumId w:val="0"/>
  </w:num>
  <w:num w:numId="23">
    <w:abstractNumId w:val="22"/>
  </w:num>
  <w:num w:numId="24">
    <w:abstractNumId w:val="9"/>
  </w:num>
  <w:num w:numId="25">
    <w:abstractNumId w:val="3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1AF"/>
    <w:rsid w:val="00072020"/>
    <w:rsid w:val="00084928"/>
    <w:rsid w:val="000C3CB1"/>
    <w:rsid w:val="000E5E56"/>
    <w:rsid w:val="00116C4E"/>
    <w:rsid w:val="00126356"/>
    <w:rsid w:val="00155EA1"/>
    <w:rsid w:val="00185FA8"/>
    <w:rsid w:val="001D1EFC"/>
    <w:rsid w:val="001D6B76"/>
    <w:rsid w:val="00262B7D"/>
    <w:rsid w:val="00272091"/>
    <w:rsid w:val="002903E5"/>
    <w:rsid w:val="002A1EFF"/>
    <w:rsid w:val="002B6FEC"/>
    <w:rsid w:val="002E02E2"/>
    <w:rsid w:val="00412BB5"/>
    <w:rsid w:val="00475C4F"/>
    <w:rsid w:val="004E1F3E"/>
    <w:rsid w:val="004E5C4C"/>
    <w:rsid w:val="004F21AF"/>
    <w:rsid w:val="004F2261"/>
    <w:rsid w:val="0057420D"/>
    <w:rsid w:val="005B19D4"/>
    <w:rsid w:val="005B262B"/>
    <w:rsid w:val="005C5E6B"/>
    <w:rsid w:val="005D12EA"/>
    <w:rsid w:val="005E2D0C"/>
    <w:rsid w:val="005E48C3"/>
    <w:rsid w:val="00680B9D"/>
    <w:rsid w:val="007079BA"/>
    <w:rsid w:val="00741753"/>
    <w:rsid w:val="007E4F8E"/>
    <w:rsid w:val="008358E8"/>
    <w:rsid w:val="0087512D"/>
    <w:rsid w:val="00885924"/>
    <w:rsid w:val="008C53DE"/>
    <w:rsid w:val="00963456"/>
    <w:rsid w:val="0098225E"/>
    <w:rsid w:val="009B0FBC"/>
    <w:rsid w:val="009E263A"/>
    <w:rsid w:val="00A43ED0"/>
    <w:rsid w:val="00A65BF3"/>
    <w:rsid w:val="00A66F14"/>
    <w:rsid w:val="00A67221"/>
    <w:rsid w:val="00A92531"/>
    <w:rsid w:val="00AE22C7"/>
    <w:rsid w:val="00AE6AC2"/>
    <w:rsid w:val="00AF7E9C"/>
    <w:rsid w:val="00B200F7"/>
    <w:rsid w:val="00B92003"/>
    <w:rsid w:val="00B976CA"/>
    <w:rsid w:val="00B97ED3"/>
    <w:rsid w:val="00BC6DBE"/>
    <w:rsid w:val="00BE736C"/>
    <w:rsid w:val="00C07E23"/>
    <w:rsid w:val="00D1742F"/>
    <w:rsid w:val="00D74ECE"/>
    <w:rsid w:val="00DC0230"/>
    <w:rsid w:val="00DE2D6C"/>
    <w:rsid w:val="00EC406A"/>
    <w:rsid w:val="00EF76DE"/>
    <w:rsid w:val="00F522D3"/>
    <w:rsid w:val="00F6711A"/>
    <w:rsid w:val="00F85F4D"/>
    <w:rsid w:val="00FA1716"/>
    <w:rsid w:val="00FA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55C3"/>
  <w15:chartTrackingRefBased/>
  <w15:docId w15:val="{41E3BB84-EA66-47F3-94CA-C23629F46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6B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B920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920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9200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9200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B9200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92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92003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1D6B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rsid w:val="00EF76DE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F76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F76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F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uiPriority w:val="99"/>
    <w:rsid w:val="0098225E"/>
    <w:rPr>
      <w:rFonts w:ascii="Times New Roman" w:hAnsi="Times New Roman" w:cs="Times New Roman"/>
      <w:color w:val="000000"/>
      <w:sz w:val="22"/>
      <w:szCs w:val="22"/>
    </w:rPr>
  </w:style>
  <w:style w:type="paragraph" w:customStyle="1" w:styleId="animation-ready">
    <w:name w:val="animation-ready"/>
    <w:basedOn w:val="Normalny"/>
    <w:rsid w:val="00B20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7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736C"/>
  </w:style>
  <w:style w:type="paragraph" w:styleId="Stopka">
    <w:name w:val="footer"/>
    <w:basedOn w:val="Normalny"/>
    <w:link w:val="StopkaZnak"/>
    <w:uiPriority w:val="99"/>
    <w:unhideWhenUsed/>
    <w:rsid w:val="00BE7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736C"/>
  </w:style>
  <w:style w:type="paragraph" w:customStyle="1" w:styleId="rteright">
    <w:name w:val="rteright"/>
    <w:basedOn w:val="Normalny"/>
    <w:rsid w:val="00FA1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A1716"/>
    <w:rPr>
      <w:i/>
      <w:iCs/>
    </w:rPr>
  </w:style>
  <w:style w:type="character" w:customStyle="1" w:styleId="mw-headline">
    <w:name w:val="mw-headline"/>
    <w:basedOn w:val="Domylnaczcionkaakapitu"/>
    <w:rsid w:val="00EC4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02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8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8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274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69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1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19920410175" TargetMode="External"/><Relationship Id="rId13" Type="http://schemas.openxmlformats.org/officeDocument/2006/relationships/hyperlink" Target="https://pl.wikipedia.org/wiki/Powiat_(Polska)" TargetMode="External"/><Relationship Id="rId18" Type="http://schemas.openxmlformats.org/officeDocument/2006/relationships/hyperlink" Target="https://pl.wikipedia.org/wiki/W%C3%B3jt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pl.wikipedia.org/wiki/Ratownictwo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pl.wikipedia.org/wiki/Wojewoda" TargetMode="External"/><Relationship Id="rId17" Type="http://schemas.openxmlformats.org/officeDocument/2006/relationships/hyperlink" Target="https://pl.wikipedia.org/wiki/Gmina" TargetMode="External"/><Relationship Id="rId25" Type="http://schemas.openxmlformats.org/officeDocument/2006/relationships/hyperlink" Target="http://www.ock.gov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l.wikipedia.org/wiki/Prezydent_miasta" TargetMode="External"/><Relationship Id="rId20" Type="http://schemas.openxmlformats.org/officeDocument/2006/relationships/hyperlink" Target="https://pl.wikipedia.org/wiki/Prezydent_miast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.wikipedia.org/wiki/Wojew%C3%B3dztwo" TargetMode="External"/><Relationship Id="rId24" Type="http://schemas.openxmlformats.org/officeDocument/2006/relationships/hyperlink" Target="https://pl.wikipedia.org/wiki/Zasadnicza_s%C5%82u%C5%BCba_wojskow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l.wikipedia.org/wiki/Starosta" TargetMode="External"/><Relationship Id="rId23" Type="http://schemas.openxmlformats.org/officeDocument/2006/relationships/hyperlink" Target="https://pl.wikipedia.org/wiki/1967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pl.wikipedia.org/wiki/Plan_obrony_cywilnej" TargetMode="External"/><Relationship Id="rId19" Type="http://schemas.openxmlformats.org/officeDocument/2006/relationships/hyperlink" Target="https://pl.wikipedia.org/wiki/Burmistr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pl.wikipedia.org/wiki/Powiat_grodzki" TargetMode="External"/><Relationship Id="rId22" Type="http://schemas.openxmlformats.org/officeDocument/2006/relationships/hyperlink" Target="https://pl.wikipedia.org/wiki/21_listopada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935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Francuz</dc:creator>
  <cp:keywords/>
  <dc:description/>
  <cp:lastModifiedBy>Robert Francuz</cp:lastModifiedBy>
  <cp:revision>49</cp:revision>
  <dcterms:created xsi:type="dcterms:W3CDTF">2021-05-18T06:37:00Z</dcterms:created>
  <dcterms:modified xsi:type="dcterms:W3CDTF">2021-11-10T10:52:00Z</dcterms:modified>
</cp:coreProperties>
</file>